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C898A" w14:textId="792A4347" w:rsidR="003E035B" w:rsidRPr="00822A34" w:rsidRDefault="00DB699F">
      <w:pPr>
        <w:rPr>
          <w:rFonts w:ascii="Arial" w:hAnsi="Arial" w:cs="Arial"/>
          <w:b/>
          <w:bCs/>
          <w:sz w:val="24"/>
          <w:szCs w:val="24"/>
        </w:rPr>
      </w:pPr>
      <w:r w:rsidRPr="00822A34">
        <w:rPr>
          <w:rFonts w:ascii="Arial" w:hAnsi="Arial" w:cs="Arial"/>
          <w:b/>
          <w:bCs/>
          <w:sz w:val="24"/>
          <w:szCs w:val="24"/>
        </w:rPr>
        <w:t xml:space="preserve">Guidelines for students as participants in </w:t>
      </w:r>
      <w:r w:rsidR="00126CA0" w:rsidRPr="00822A34">
        <w:rPr>
          <w:rFonts w:ascii="Arial" w:hAnsi="Arial" w:cs="Arial"/>
          <w:b/>
          <w:bCs/>
          <w:sz w:val="24"/>
          <w:szCs w:val="24"/>
        </w:rPr>
        <w:t>health professions education</w:t>
      </w:r>
      <w:r w:rsidRPr="00822A34">
        <w:rPr>
          <w:rFonts w:ascii="Arial" w:hAnsi="Arial" w:cs="Arial"/>
          <w:b/>
          <w:bCs/>
          <w:sz w:val="24"/>
          <w:szCs w:val="24"/>
        </w:rPr>
        <w:t xml:space="preserve"> research, audit, evaluation and quality improvement project</w:t>
      </w:r>
      <w:r w:rsidR="00126CA0" w:rsidRPr="00822A34">
        <w:rPr>
          <w:rFonts w:ascii="Arial" w:hAnsi="Arial" w:cs="Arial"/>
          <w:b/>
          <w:bCs/>
          <w:sz w:val="24"/>
          <w:szCs w:val="24"/>
        </w:rPr>
        <w:t>s</w:t>
      </w:r>
      <w:r w:rsidRPr="00822A34">
        <w:rPr>
          <w:rFonts w:ascii="Arial" w:hAnsi="Arial" w:cs="Arial"/>
          <w:b/>
          <w:bCs/>
          <w:sz w:val="24"/>
          <w:szCs w:val="24"/>
        </w:rPr>
        <w:t xml:space="preserve"> with University of Leeds partner organisations.</w:t>
      </w:r>
    </w:p>
    <w:p w14:paraId="01A5D5D6" w14:textId="5E75075C" w:rsidR="00DB699F" w:rsidRPr="00822A34" w:rsidRDefault="00DB699F">
      <w:pPr>
        <w:rPr>
          <w:rFonts w:ascii="Arial" w:hAnsi="Arial" w:cs="Arial"/>
          <w:b/>
          <w:bCs/>
          <w:sz w:val="24"/>
          <w:szCs w:val="24"/>
        </w:rPr>
      </w:pPr>
      <w:r w:rsidRPr="00822A34">
        <w:rPr>
          <w:rFonts w:ascii="Arial" w:hAnsi="Arial" w:cs="Arial"/>
          <w:b/>
          <w:bCs/>
          <w:sz w:val="24"/>
          <w:szCs w:val="24"/>
        </w:rPr>
        <w:t>Introduction:</w:t>
      </w:r>
    </w:p>
    <w:p w14:paraId="2B8F46E1" w14:textId="46BAA99E" w:rsidR="7A549538" w:rsidRPr="00822A34" w:rsidRDefault="7A549538">
      <w:pPr>
        <w:rPr>
          <w:rFonts w:ascii="Arial" w:hAnsi="Arial" w:cs="Arial"/>
          <w:sz w:val="24"/>
          <w:szCs w:val="24"/>
        </w:rPr>
      </w:pPr>
      <w:r w:rsidRPr="00822A34">
        <w:rPr>
          <w:rFonts w:ascii="Arial" w:hAnsi="Arial" w:cs="Arial"/>
          <w:sz w:val="24"/>
          <w:szCs w:val="24"/>
        </w:rPr>
        <w:t>Health profession</w:t>
      </w:r>
      <w:r w:rsidR="0077652F">
        <w:rPr>
          <w:rFonts w:ascii="Arial" w:hAnsi="Arial" w:cs="Arial"/>
          <w:sz w:val="24"/>
          <w:szCs w:val="24"/>
        </w:rPr>
        <w:t>al</w:t>
      </w:r>
      <w:r w:rsidRPr="00822A34">
        <w:rPr>
          <w:rFonts w:ascii="Arial" w:hAnsi="Arial" w:cs="Arial"/>
          <w:sz w:val="24"/>
          <w:szCs w:val="24"/>
        </w:rPr>
        <w:t xml:space="preserve"> education </w:t>
      </w:r>
      <w:r w:rsidR="11A2671D" w:rsidRPr="00822A34">
        <w:rPr>
          <w:rFonts w:ascii="Arial" w:hAnsi="Arial" w:cs="Arial"/>
          <w:sz w:val="24"/>
          <w:szCs w:val="24"/>
        </w:rPr>
        <w:t>scholarship</w:t>
      </w:r>
      <w:r w:rsidR="00151BA0" w:rsidRPr="00822A34">
        <w:rPr>
          <w:rFonts w:ascii="Arial" w:hAnsi="Arial" w:cs="Arial"/>
          <w:sz w:val="24"/>
          <w:szCs w:val="24"/>
        </w:rPr>
        <w:t xml:space="preserve"> and research</w:t>
      </w:r>
      <w:r w:rsidR="11A2671D" w:rsidRPr="00822A34">
        <w:rPr>
          <w:rFonts w:ascii="Arial" w:hAnsi="Arial" w:cs="Arial"/>
          <w:sz w:val="24"/>
          <w:szCs w:val="24"/>
        </w:rPr>
        <w:t xml:space="preserve"> </w:t>
      </w:r>
      <w:r w:rsidRPr="00822A34">
        <w:rPr>
          <w:rFonts w:ascii="Arial" w:hAnsi="Arial" w:cs="Arial"/>
          <w:sz w:val="24"/>
          <w:szCs w:val="24"/>
        </w:rPr>
        <w:t>is critical in advancing our understanding of teaching, learning and assessment</w:t>
      </w:r>
      <w:r w:rsidR="76F90C90" w:rsidRPr="00822A34">
        <w:rPr>
          <w:rFonts w:ascii="Arial" w:hAnsi="Arial" w:cs="Arial"/>
          <w:sz w:val="24"/>
          <w:szCs w:val="24"/>
        </w:rPr>
        <w:t>. It is</w:t>
      </w:r>
      <w:r w:rsidR="1D475C81" w:rsidRPr="00822A34">
        <w:rPr>
          <w:rFonts w:ascii="Arial" w:hAnsi="Arial" w:cs="Arial"/>
          <w:sz w:val="24"/>
          <w:szCs w:val="24"/>
        </w:rPr>
        <w:t xml:space="preserve"> also </w:t>
      </w:r>
      <w:r w:rsidRPr="00822A34">
        <w:rPr>
          <w:rFonts w:ascii="Arial" w:hAnsi="Arial" w:cs="Arial"/>
          <w:sz w:val="24"/>
          <w:szCs w:val="24"/>
        </w:rPr>
        <w:t>essential to delive</w:t>
      </w:r>
      <w:r w:rsidR="444C3399" w:rsidRPr="00822A34">
        <w:rPr>
          <w:rFonts w:ascii="Arial" w:hAnsi="Arial" w:cs="Arial"/>
          <w:sz w:val="24"/>
          <w:szCs w:val="24"/>
        </w:rPr>
        <w:t xml:space="preserve">ring </w:t>
      </w:r>
      <w:r w:rsidRPr="00822A34">
        <w:rPr>
          <w:rFonts w:ascii="Arial" w:hAnsi="Arial" w:cs="Arial"/>
          <w:sz w:val="24"/>
          <w:szCs w:val="24"/>
        </w:rPr>
        <w:t>the highest standards of education. When conducting research, audit, evaluation and quality improvement projects it is important that we protect the wellbeing of our students</w:t>
      </w:r>
      <w:r w:rsidR="25B27DC8" w:rsidRPr="00822A34">
        <w:rPr>
          <w:rFonts w:ascii="Arial" w:hAnsi="Arial" w:cs="Arial"/>
          <w:sz w:val="24"/>
          <w:szCs w:val="24"/>
        </w:rPr>
        <w:t xml:space="preserve">, </w:t>
      </w:r>
      <w:r w:rsidRPr="00822A34">
        <w:rPr>
          <w:rFonts w:ascii="Arial" w:hAnsi="Arial" w:cs="Arial"/>
          <w:sz w:val="24"/>
          <w:szCs w:val="24"/>
        </w:rPr>
        <w:t xml:space="preserve">who are often participants in these activities’ both in the university and NHS placements. As </w:t>
      </w:r>
      <w:r w:rsidR="372BE6C5" w:rsidRPr="00822A34">
        <w:rPr>
          <w:rFonts w:ascii="Arial" w:hAnsi="Arial" w:cs="Arial"/>
          <w:sz w:val="24"/>
          <w:szCs w:val="24"/>
        </w:rPr>
        <w:t>organisations</w:t>
      </w:r>
      <w:r w:rsidRPr="00822A34">
        <w:rPr>
          <w:rFonts w:ascii="Arial" w:hAnsi="Arial" w:cs="Arial"/>
          <w:sz w:val="24"/>
          <w:szCs w:val="24"/>
        </w:rPr>
        <w:t xml:space="preserve"> we need to ensure that we not only </w:t>
      </w:r>
      <w:r w:rsidR="1337749D" w:rsidRPr="00822A34">
        <w:rPr>
          <w:rFonts w:ascii="Arial" w:hAnsi="Arial" w:cs="Arial"/>
          <w:sz w:val="24"/>
          <w:szCs w:val="24"/>
        </w:rPr>
        <w:t>uphold</w:t>
      </w:r>
      <w:r w:rsidRPr="00822A34">
        <w:rPr>
          <w:rFonts w:ascii="Arial" w:hAnsi="Arial" w:cs="Arial"/>
          <w:sz w:val="24"/>
          <w:szCs w:val="24"/>
        </w:rPr>
        <w:t xml:space="preserve"> ethical principles but safeguard our student’s privacy and autonomy</w:t>
      </w:r>
      <w:r w:rsidR="5BC9A545" w:rsidRPr="00822A34">
        <w:rPr>
          <w:rFonts w:ascii="Arial" w:hAnsi="Arial" w:cs="Arial"/>
          <w:sz w:val="24"/>
          <w:szCs w:val="24"/>
        </w:rPr>
        <w:t xml:space="preserve"> in every context. </w:t>
      </w:r>
    </w:p>
    <w:p w14:paraId="02E38ED4" w14:textId="3E5689C1" w:rsidR="7A549538" w:rsidRPr="00822A34" w:rsidRDefault="0C07CE55">
      <w:pPr>
        <w:rPr>
          <w:rFonts w:ascii="Arial" w:hAnsi="Arial" w:cs="Arial"/>
          <w:sz w:val="24"/>
          <w:szCs w:val="24"/>
        </w:rPr>
      </w:pPr>
      <w:r w:rsidRPr="00822A34">
        <w:rPr>
          <w:rFonts w:ascii="Arial" w:hAnsi="Arial" w:cs="Arial"/>
          <w:sz w:val="24"/>
          <w:szCs w:val="24"/>
        </w:rPr>
        <w:t>These guidelines outline</w:t>
      </w:r>
      <w:r w:rsidR="0135FEC3" w:rsidRPr="00822A34">
        <w:rPr>
          <w:rFonts w:ascii="Arial" w:hAnsi="Arial" w:cs="Arial"/>
          <w:sz w:val="24"/>
          <w:szCs w:val="24"/>
        </w:rPr>
        <w:t xml:space="preserve"> </w:t>
      </w:r>
      <w:r w:rsidR="0C719CE6" w:rsidRPr="00822A34">
        <w:rPr>
          <w:rFonts w:ascii="Arial" w:hAnsi="Arial" w:cs="Arial"/>
          <w:sz w:val="24"/>
          <w:szCs w:val="24"/>
        </w:rPr>
        <w:t xml:space="preserve">the </w:t>
      </w:r>
      <w:r w:rsidR="0135FEC3" w:rsidRPr="00822A34">
        <w:rPr>
          <w:rFonts w:ascii="Arial" w:hAnsi="Arial" w:cs="Arial"/>
          <w:sz w:val="24"/>
          <w:szCs w:val="24"/>
        </w:rPr>
        <w:t xml:space="preserve">process that must be </w:t>
      </w:r>
      <w:r w:rsidR="2B1E6977" w:rsidRPr="00822A34">
        <w:rPr>
          <w:rFonts w:ascii="Arial" w:hAnsi="Arial" w:cs="Arial"/>
          <w:sz w:val="24"/>
          <w:szCs w:val="24"/>
        </w:rPr>
        <w:t>followed</w:t>
      </w:r>
      <w:r w:rsidR="0135FEC3" w:rsidRPr="00822A34">
        <w:rPr>
          <w:rFonts w:ascii="Arial" w:hAnsi="Arial" w:cs="Arial"/>
          <w:sz w:val="24"/>
          <w:szCs w:val="24"/>
        </w:rPr>
        <w:t xml:space="preserve"> when involving students in scholar</w:t>
      </w:r>
      <w:r w:rsidR="7CF0355A" w:rsidRPr="00822A34">
        <w:rPr>
          <w:rFonts w:ascii="Arial" w:hAnsi="Arial" w:cs="Arial"/>
          <w:sz w:val="24"/>
          <w:szCs w:val="24"/>
        </w:rPr>
        <w:t>ly activities.</w:t>
      </w:r>
      <w:r w:rsidR="0135FEC3" w:rsidRPr="00822A34">
        <w:rPr>
          <w:rFonts w:ascii="Arial" w:hAnsi="Arial" w:cs="Arial"/>
          <w:sz w:val="24"/>
          <w:szCs w:val="24"/>
        </w:rPr>
        <w:t xml:space="preserve"> </w:t>
      </w:r>
      <w:r w:rsidR="4D4F1B15" w:rsidRPr="00822A34">
        <w:rPr>
          <w:rFonts w:ascii="Arial" w:hAnsi="Arial" w:cs="Arial"/>
          <w:sz w:val="24"/>
          <w:szCs w:val="24"/>
        </w:rPr>
        <w:t xml:space="preserve">They are intended to </w:t>
      </w:r>
      <w:r w:rsidR="0135FEC3" w:rsidRPr="00822A34">
        <w:rPr>
          <w:rFonts w:ascii="Arial" w:hAnsi="Arial" w:cs="Arial"/>
          <w:sz w:val="24"/>
          <w:szCs w:val="24"/>
        </w:rPr>
        <w:t xml:space="preserve">support staff in </w:t>
      </w:r>
      <w:r w:rsidR="1A0EB0D5" w:rsidRPr="00822A34">
        <w:rPr>
          <w:rFonts w:ascii="Arial" w:hAnsi="Arial" w:cs="Arial"/>
          <w:sz w:val="24"/>
          <w:szCs w:val="24"/>
        </w:rPr>
        <w:t xml:space="preserve">in both the University and </w:t>
      </w:r>
      <w:r w:rsidR="0135FEC3" w:rsidRPr="00822A34">
        <w:rPr>
          <w:rFonts w:ascii="Arial" w:hAnsi="Arial" w:cs="Arial"/>
          <w:sz w:val="24"/>
          <w:szCs w:val="24"/>
        </w:rPr>
        <w:t>clinical p</w:t>
      </w:r>
      <w:r w:rsidR="0077652F">
        <w:rPr>
          <w:rFonts w:ascii="Arial" w:hAnsi="Arial" w:cs="Arial"/>
          <w:sz w:val="24"/>
          <w:szCs w:val="24"/>
        </w:rPr>
        <w:t xml:space="preserve">lacements </w:t>
      </w:r>
      <w:r w:rsidR="0135FEC3" w:rsidRPr="00822A34">
        <w:rPr>
          <w:rFonts w:ascii="Arial" w:hAnsi="Arial" w:cs="Arial"/>
          <w:sz w:val="24"/>
          <w:szCs w:val="24"/>
        </w:rPr>
        <w:t xml:space="preserve">to design and conduct projects that are credible, impactful and </w:t>
      </w:r>
      <w:r w:rsidR="55AA7472" w:rsidRPr="00822A34">
        <w:rPr>
          <w:rFonts w:ascii="Arial" w:hAnsi="Arial" w:cs="Arial"/>
          <w:sz w:val="24"/>
          <w:szCs w:val="24"/>
        </w:rPr>
        <w:t>conducted</w:t>
      </w:r>
      <w:r w:rsidR="0135FEC3" w:rsidRPr="00822A34">
        <w:rPr>
          <w:rFonts w:ascii="Arial" w:hAnsi="Arial" w:cs="Arial"/>
          <w:sz w:val="24"/>
          <w:szCs w:val="24"/>
        </w:rPr>
        <w:t xml:space="preserve"> with integrity </w:t>
      </w:r>
      <w:r w:rsidR="00D61F9A" w:rsidRPr="00822A34">
        <w:rPr>
          <w:rFonts w:ascii="Arial" w:hAnsi="Arial" w:cs="Arial"/>
          <w:sz w:val="24"/>
          <w:szCs w:val="24"/>
        </w:rPr>
        <w:t>w</w:t>
      </w:r>
      <w:r w:rsidR="00D61F9A">
        <w:rPr>
          <w:rFonts w:ascii="Arial" w:hAnsi="Arial" w:cs="Arial"/>
          <w:sz w:val="24"/>
          <w:szCs w:val="24"/>
        </w:rPr>
        <w:t>hilst</w:t>
      </w:r>
      <w:r w:rsidR="00D61F9A" w:rsidRPr="00822A34">
        <w:rPr>
          <w:rFonts w:ascii="Arial" w:hAnsi="Arial" w:cs="Arial"/>
          <w:sz w:val="24"/>
          <w:szCs w:val="24"/>
        </w:rPr>
        <w:t xml:space="preserve"> safeguarding</w:t>
      </w:r>
      <w:r w:rsidR="0135FEC3" w:rsidRPr="00822A34">
        <w:rPr>
          <w:rFonts w:ascii="Arial" w:hAnsi="Arial" w:cs="Arial"/>
          <w:sz w:val="24"/>
          <w:szCs w:val="24"/>
        </w:rPr>
        <w:t xml:space="preserve"> our students.</w:t>
      </w:r>
    </w:p>
    <w:p w14:paraId="7EF941B3" w14:textId="29B36B51" w:rsidR="0135FEC3" w:rsidRPr="00822A34" w:rsidRDefault="0135FEC3">
      <w:pPr>
        <w:rPr>
          <w:rFonts w:ascii="Arial" w:hAnsi="Arial" w:cs="Arial"/>
          <w:sz w:val="24"/>
          <w:szCs w:val="24"/>
        </w:rPr>
      </w:pPr>
      <w:r w:rsidRPr="00822A34">
        <w:rPr>
          <w:rFonts w:ascii="Arial" w:hAnsi="Arial" w:cs="Arial"/>
          <w:sz w:val="24"/>
          <w:szCs w:val="24"/>
        </w:rPr>
        <w:t>Step 1: Identify the t</w:t>
      </w:r>
      <w:r w:rsidR="2D3420E1" w:rsidRPr="00822A34">
        <w:rPr>
          <w:rFonts w:ascii="Arial" w:hAnsi="Arial" w:cs="Arial"/>
          <w:sz w:val="24"/>
          <w:szCs w:val="24"/>
        </w:rPr>
        <w:t>ype of project</w:t>
      </w:r>
    </w:p>
    <w:p w14:paraId="274EF164" w14:textId="324CB2BF" w:rsidR="0056118C" w:rsidRPr="00822A34" w:rsidRDefault="2D3420E1" w:rsidP="5A88ABE8">
      <w:pPr>
        <w:rPr>
          <w:rFonts w:ascii="Arial" w:hAnsi="Arial" w:cs="Arial"/>
          <w:sz w:val="24"/>
          <w:szCs w:val="24"/>
        </w:rPr>
      </w:pPr>
      <w:r w:rsidRPr="00822A34">
        <w:rPr>
          <w:rFonts w:ascii="Arial" w:hAnsi="Arial" w:cs="Arial"/>
          <w:sz w:val="24"/>
          <w:szCs w:val="24"/>
        </w:rPr>
        <w:t xml:space="preserve">The first step is to establish the type of activity students are being asked to participate in. </w:t>
      </w:r>
    </w:p>
    <w:p w14:paraId="55D885D0" w14:textId="09569375" w:rsidR="0056118C" w:rsidRPr="00822A34" w:rsidRDefault="7A549538">
      <w:pPr>
        <w:rPr>
          <w:rFonts w:ascii="Arial" w:hAnsi="Arial" w:cs="Arial"/>
          <w:sz w:val="24"/>
          <w:szCs w:val="24"/>
        </w:rPr>
      </w:pPr>
      <w:r w:rsidRPr="00822A34">
        <w:rPr>
          <w:rFonts w:ascii="Arial" w:hAnsi="Arial" w:cs="Arial"/>
          <w:sz w:val="24"/>
          <w:szCs w:val="24"/>
        </w:rPr>
        <w:t xml:space="preserve"> </w:t>
      </w:r>
      <w:r w:rsidR="37492669" w:rsidRPr="00822A34">
        <w:rPr>
          <w:rFonts w:ascii="Arial" w:eastAsia="Aptos" w:hAnsi="Arial" w:cs="Arial"/>
          <w:sz w:val="24"/>
          <w:szCs w:val="24"/>
        </w:rPr>
        <w:t xml:space="preserve">The following link provides guidelines </w:t>
      </w:r>
      <w:r w:rsidR="4E74EE9D" w:rsidRPr="00822A34">
        <w:rPr>
          <w:rFonts w:ascii="Arial" w:eastAsia="Aptos" w:hAnsi="Arial" w:cs="Arial"/>
          <w:sz w:val="24"/>
          <w:szCs w:val="24"/>
        </w:rPr>
        <w:t xml:space="preserve">on distinguishing between </w:t>
      </w:r>
      <w:r w:rsidR="37492669" w:rsidRPr="00822A34">
        <w:rPr>
          <w:rFonts w:ascii="Arial" w:eastAsia="Aptos" w:hAnsi="Arial" w:cs="Arial"/>
          <w:sz w:val="24"/>
          <w:szCs w:val="24"/>
        </w:rPr>
        <w:t>research, service evaluation</w:t>
      </w:r>
      <w:r w:rsidR="190C3EF5" w:rsidRPr="00822A34">
        <w:rPr>
          <w:rFonts w:ascii="Arial" w:eastAsia="Aptos" w:hAnsi="Arial" w:cs="Arial"/>
          <w:sz w:val="24"/>
          <w:szCs w:val="24"/>
        </w:rPr>
        <w:t>/quality improvement</w:t>
      </w:r>
      <w:r w:rsidR="37492669" w:rsidRPr="00822A34">
        <w:rPr>
          <w:rFonts w:ascii="Arial" w:eastAsia="Aptos" w:hAnsi="Arial" w:cs="Arial"/>
          <w:sz w:val="24"/>
          <w:szCs w:val="24"/>
        </w:rPr>
        <w:t>, audit and health surveillance projects</w:t>
      </w:r>
      <w:r w:rsidR="6B1FA91A" w:rsidRPr="00822A34">
        <w:rPr>
          <w:rFonts w:ascii="Arial" w:eastAsia="Aptos" w:hAnsi="Arial" w:cs="Arial"/>
          <w:sz w:val="24"/>
          <w:szCs w:val="24"/>
        </w:rPr>
        <w:t xml:space="preserve">. </w:t>
      </w:r>
      <w:hyperlink r:id="rId7">
        <w:r w:rsidRPr="00822A34">
          <w:rPr>
            <w:rStyle w:val="Hyperlink"/>
            <w:rFonts w:ascii="Arial" w:hAnsi="Arial" w:cs="Arial"/>
            <w:sz w:val="24"/>
            <w:szCs w:val="24"/>
          </w:rPr>
          <w:t>Microsoft Word - DefiningResearchTable_OCT2022.docx</w:t>
        </w:r>
      </w:hyperlink>
    </w:p>
    <w:p w14:paraId="28FC1666" w14:textId="46948EE6" w:rsidR="5A88ABE8" w:rsidRPr="00822A34" w:rsidRDefault="5A88ABE8">
      <w:pPr>
        <w:rPr>
          <w:rFonts w:ascii="Arial" w:hAnsi="Arial" w:cs="Arial"/>
          <w:sz w:val="24"/>
          <w:szCs w:val="24"/>
        </w:rPr>
      </w:pPr>
      <w:r w:rsidRPr="00822A34">
        <w:rPr>
          <w:rFonts w:ascii="Arial" w:eastAsia="Aptos" w:hAnsi="Arial" w:cs="Arial"/>
          <w:sz w:val="24"/>
          <w:szCs w:val="24"/>
        </w:rPr>
        <w:t xml:space="preserve">Using this resource will clarify the nature of your project and guide you towards the appropriate next steps.  </w:t>
      </w:r>
    </w:p>
    <w:p w14:paraId="7BA05FE1" w14:textId="43302C03" w:rsidR="004D1C30" w:rsidRPr="00822A34" w:rsidRDefault="1F7CCED4" w:rsidP="004D1C30">
      <w:pPr>
        <w:rPr>
          <w:rFonts w:ascii="Arial" w:hAnsi="Arial" w:cs="Arial"/>
          <w:b/>
          <w:bCs/>
          <w:sz w:val="24"/>
          <w:szCs w:val="24"/>
        </w:rPr>
      </w:pPr>
      <w:r w:rsidRPr="00822A34">
        <w:rPr>
          <w:rFonts w:ascii="Arial" w:hAnsi="Arial" w:cs="Arial"/>
          <w:b/>
          <w:bCs/>
          <w:sz w:val="24"/>
          <w:szCs w:val="24"/>
        </w:rPr>
        <w:t>Step 2: ensuring e</w:t>
      </w:r>
      <w:r w:rsidR="054B4D27" w:rsidRPr="00822A34">
        <w:rPr>
          <w:rFonts w:ascii="Arial" w:hAnsi="Arial" w:cs="Arial"/>
          <w:b/>
          <w:bCs/>
          <w:sz w:val="24"/>
          <w:szCs w:val="24"/>
        </w:rPr>
        <w:t>thical standards</w:t>
      </w:r>
    </w:p>
    <w:p w14:paraId="42A02454" w14:textId="3B6D2C12" w:rsidR="0056118C" w:rsidRPr="00FA741C" w:rsidRDefault="00151BA0">
      <w:pPr>
        <w:rPr>
          <w:rFonts w:ascii="Arial" w:hAnsi="Arial" w:cs="Arial"/>
          <w:color w:val="000000" w:themeColor="text1"/>
          <w:sz w:val="24"/>
          <w:szCs w:val="24"/>
        </w:rPr>
      </w:pPr>
      <w:r w:rsidRPr="00822A34">
        <w:rPr>
          <w:rFonts w:ascii="Arial" w:hAnsi="Arial" w:cs="Arial"/>
          <w:b/>
          <w:bCs/>
          <w:sz w:val="24"/>
          <w:szCs w:val="24"/>
        </w:rPr>
        <w:t xml:space="preserve">2a. </w:t>
      </w:r>
      <w:r w:rsidR="054B4D27" w:rsidRPr="00822A34">
        <w:rPr>
          <w:rFonts w:ascii="Arial" w:hAnsi="Arial" w:cs="Arial"/>
          <w:b/>
          <w:bCs/>
          <w:sz w:val="24"/>
          <w:szCs w:val="24"/>
        </w:rPr>
        <w:t>Research</w:t>
      </w:r>
      <w:r w:rsidR="321986CC" w:rsidRPr="00822A34">
        <w:rPr>
          <w:rFonts w:ascii="Arial" w:hAnsi="Arial" w:cs="Arial"/>
          <w:sz w:val="24"/>
          <w:szCs w:val="24"/>
        </w:rPr>
        <w:t xml:space="preserve">: </w:t>
      </w:r>
      <w:r w:rsidR="00F7411A">
        <w:rPr>
          <w:rFonts w:ascii="Arial" w:hAnsi="Arial" w:cs="Arial"/>
          <w:sz w:val="24"/>
          <w:szCs w:val="24"/>
        </w:rPr>
        <w:t xml:space="preserve">Prospective assessment of a new teaching approach is usually classified as research. </w:t>
      </w:r>
      <w:r w:rsidR="4B91EBA0" w:rsidRPr="00822A34">
        <w:rPr>
          <w:rFonts w:ascii="Arial" w:hAnsi="Arial" w:cs="Arial"/>
          <w:sz w:val="24"/>
          <w:szCs w:val="24"/>
        </w:rPr>
        <w:t>I</w:t>
      </w:r>
      <w:r w:rsidR="00F7411A">
        <w:rPr>
          <w:rFonts w:ascii="Arial" w:hAnsi="Arial" w:cs="Arial"/>
          <w:sz w:val="24"/>
          <w:szCs w:val="24"/>
        </w:rPr>
        <w:t xml:space="preserve">n this case, </w:t>
      </w:r>
      <w:r w:rsidR="4B91EBA0" w:rsidRPr="00822A34">
        <w:rPr>
          <w:rFonts w:ascii="Arial" w:hAnsi="Arial" w:cs="Arial"/>
          <w:sz w:val="24"/>
          <w:szCs w:val="24"/>
        </w:rPr>
        <w:t xml:space="preserve">ethical </w:t>
      </w:r>
      <w:r w:rsidR="0077652F">
        <w:rPr>
          <w:rFonts w:ascii="Arial" w:hAnsi="Arial" w:cs="Arial"/>
          <w:sz w:val="24"/>
          <w:szCs w:val="24"/>
        </w:rPr>
        <w:t xml:space="preserve">oversight </w:t>
      </w:r>
      <w:r w:rsidR="4B91EBA0" w:rsidRPr="00822A34">
        <w:rPr>
          <w:rFonts w:ascii="Arial" w:hAnsi="Arial" w:cs="Arial"/>
          <w:sz w:val="24"/>
          <w:szCs w:val="24"/>
        </w:rPr>
        <w:t>is required</w:t>
      </w:r>
      <w:r w:rsidR="79F3BBCC" w:rsidRPr="00822A34">
        <w:rPr>
          <w:rFonts w:ascii="Arial" w:hAnsi="Arial" w:cs="Arial"/>
          <w:sz w:val="24"/>
          <w:szCs w:val="24"/>
        </w:rPr>
        <w:t>.</w:t>
      </w:r>
      <w:r w:rsidR="4B91EBA0" w:rsidRPr="00822A34">
        <w:rPr>
          <w:rFonts w:ascii="Arial" w:hAnsi="Arial" w:cs="Arial"/>
          <w:sz w:val="24"/>
          <w:szCs w:val="24"/>
        </w:rPr>
        <w:t xml:space="preserve"> </w:t>
      </w:r>
      <w:r w:rsidR="79F3BBCC" w:rsidRPr="00822A34">
        <w:rPr>
          <w:rFonts w:ascii="Arial" w:hAnsi="Arial" w:cs="Arial"/>
          <w:sz w:val="24"/>
          <w:szCs w:val="24"/>
        </w:rPr>
        <w:t>P</w:t>
      </w:r>
      <w:r w:rsidR="4B91EBA0" w:rsidRPr="00822A34">
        <w:rPr>
          <w:rFonts w:ascii="Arial" w:hAnsi="Arial" w:cs="Arial"/>
          <w:sz w:val="24"/>
          <w:szCs w:val="24"/>
        </w:rPr>
        <w:t xml:space="preserve">lease complete and submit your </w:t>
      </w:r>
      <w:r w:rsidR="57000175" w:rsidRPr="00822A34">
        <w:rPr>
          <w:rFonts w:ascii="Arial" w:hAnsi="Arial" w:cs="Arial"/>
          <w:sz w:val="24"/>
          <w:szCs w:val="24"/>
        </w:rPr>
        <w:t>application</w:t>
      </w:r>
      <w:r w:rsidR="4B91EBA0" w:rsidRPr="00822A34">
        <w:rPr>
          <w:rFonts w:ascii="Arial" w:hAnsi="Arial" w:cs="Arial"/>
          <w:sz w:val="24"/>
          <w:szCs w:val="24"/>
        </w:rPr>
        <w:t xml:space="preserve"> to the appropriate </w:t>
      </w:r>
      <w:r w:rsidR="321986CC" w:rsidRPr="00822A34">
        <w:rPr>
          <w:rFonts w:ascii="Arial" w:hAnsi="Arial" w:cs="Arial"/>
          <w:sz w:val="24"/>
          <w:szCs w:val="24"/>
        </w:rPr>
        <w:t xml:space="preserve">local </w:t>
      </w:r>
      <w:r w:rsidR="36B29C42" w:rsidRPr="00822A34">
        <w:rPr>
          <w:rFonts w:ascii="Arial" w:hAnsi="Arial" w:cs="Arial"/>
          <w:sz w:val="24"/>
          <w:szCs w:val="24"/>
        </w:rPr>
        <w:t>R</w:t>
      </w:r>
      <w:r w:rsidR="321986CC" w:rsidRPr="00822A34">
        <w:rPr>
          <w:rFonts w:ascii="Arial" w:hAnsi="Arial" w:cs="Arial"/>
          <w:sz w:val="24"/>
          <w:szCs w:val="24"/>
        </w:rPr>
        <w:t xml:space="preserve">esearch </w:t>
      </w:r>
      <w:r w:rsidR="6285307E" w:rsidRPr="00822A34">
        <w:rPr>
          <w:rFonts w:ascii="Arial" w:hAnsi="Arial" w:cs="Arial"/>
          <w:sz w:val="24"/>
          <w:szCs w:val="24"/>
        </w:rPr>
        <w:t>E</w:t>
      </w:r>
      <w:r w:rsidR="4B91EBA0" w:rsidRPr="00822A34">
        <w:rPr>
          <w:rFonts w:ascii="Arial" w:hAnsi="Arial" w:cs="Arial"/>
          <w:sz w:val="24"/>
          <w:szCs w:val="24"/>
        </w:rPr>
        <w:t xml:space="preserve">thics </w:t>
      </w:r>
      <w:r w:rsidR="4694E458" w:rsidRPr="00822A34">
        <w:rPr>
          <w:rFonts w:ascii="Arial" w:hAnsi="Arial" w:cs="Arial"/>
          <w:sz w:val="24"/>
          <w:szCs w:val="24"/>
        </w:rPr>
        <w:t>C</w:t>
      </w:r>
      <w:r w:rsidR="4B91EBA0" w:rsidRPr="00822A34">
        <w:rPr>
          <w:rFonts w:ascii="Arial" w:hAnsi="Arial" w:cs="Arial"/>
          <w:sz w:val="24"/>
          <w:szCs w:val="24"/>
        </w:rPr>
        <w:t>ommittee</w:t>
      </w:r>
      <w:r w:rsidR="4632AA78" w:rsidRPr="00822A34">
        <w:rPr>
          <w:rFonts w:ascii="Arial" w:hAnsi="Arial" w:cs="Arial"/>
          <w:sz w:val="24"/>
          <w:szCs w:val="24"/>
        </w:rPr>
        <w:t xml:space="preserve"> (REC)</w:t>
      </w:r>
      <w:r w:rsidR="4B91EBA0" w:rsidRPr="00822A34">
        <w:rPr>
          <w:rFonts w:ascii="Arial" w:hAnsi="Arial" w:cs="Arial"/>
          <w:sz w:val="24"/>
          <w:szCs w:val="24"/>
        </w:rPr>
        <w:t xml:space="preserve">. </w:t>
      </w:r>
      <w:r w:rsidR="4365BA54" w:rsidRPr="00822A34">
        <w:rPr>
          <w:rFonts w:ascii="Arial" w:hAnsi="Arial" w:cs="Arial"/>
          <w:sz w:val="24"/>
          <w:szCs w:val="24"/>
        </w:rPr>
        <w:t xml:space="preserve"> The Research Ethics Committee approval number must be shared with </w:t>
      </w:r>
      <w:r w:rsidR="4365BA54" w:rsidRPr="00FA741C">
        <w:rPr>
          <w:rFonts w:ascii="Arial" w:hAnsi="Arial" w:cs="Arial"/>
          <w:color w:val="000000" w:themeColor="text1"/>
          <w:sz w:val="24"/>
          <w:szCs w:val="24"/>
        </w:rPr>
        <w:t xml:space="preserve">School of Medicine </w:t>
      </w:r>
      <w:r w:rsidR="1337749D" w:rsidRPr="00FA741C">
        <w:rPr>
          <w:rFonts w:ascii="Arial" w:hAnsi="Arial" w:cs="Arial"/>
          <w:color w:val="000000" w:themeColor="text1"/>
          <w:sz w:val="24"/>
          <w:szCs w:val="24"/>
        </w:rPr>
        <w:t xml:space="preserve">Research Ethics Committee </w:t>
      </w:r>
      <w:r w:rsidR="52E69DD1" w:rsidRPr="00FA741C">
        <w:rPr>
          <w:rFonts w:ascii="Arial" w:hAnsi="Arial" w:cs="Arial"/>
          <w:color w:val="000000" w:themeColor="text1"/>
          <w:sz w:val="24"/>
          <w:szCs w:val="24"/>
        </w:rPr>
        <w:t xml:space="preserve">and Gate Keeper approval sought as </w:t>
      </w:r>
      <w:r w:rsidR="025DD8D4" w:rsidRPr="00FA741C">
        <w:rPr>
          <w:rFonts w:ascii="Arial" w:hAnsi="Arial" w:cs="Arial"/>
          <w:color w:val="000000" w:themeColor="text1"/>
          <w:sz w:val="24"/>
          <w:szCs w:val="24"/>
        </w:rPr>
        <w:t>part of the ethical approval.</w:t>
      </w:r>
    </w:p>
    <w:p w14:paraId="169949DB" w14:textId="73800517" w:rsidR="00151BA0" w:rsidRPr="00822A34" w:rsidRDefault="00151BA0">
      <w:pPr>
        <w:rPr>
          <w:rFonts w:ascii="Arial" w:hAnsi="Arial" w:cs="Arial"/>
          <w:color w:val="FF0000"/>
          <w:sz w:val="24"/>
          <w:szCs w:val="24"/>
        </w:rPr>
      </w:pPr>
      <w:r w:rsidRPr="00FA741C">
        <w:rPr>
          <w:rFonts w:ascii="Arial" w:hAnsi="Arial" w:cs="Arial"/>
          <w:color w:val="000000" w:themeColor="text1"/>
          <w:sz w:val="24"/>
          <w:szCs w:val="24"/>
        </w:rPr>
        <w:t xml:space="preserve">2.b </w:t>
      </w:r>
      <w:r w:rsidRPr="00822A34">
        <w:rPr>
          <w:rFonts w:ascii="Arial" w:eastAsia="Aptos" w:hAnsi="Arial" w:cs="Arial"/>
          <w:b/>
          <w:bCs/>
          <w:sz w:val="24"/>
          <w:szCs w:val="24"/>
        </w:rPr>
        <w:t>Service evaluation/quality improvement, audit</w:t>
      </w:r>
    </w:p>
    <w:p w14:paraId="757834A8" w14:textId="3CEE7AE5" w:rsidR="4B91EBA0" w:rsidRPr="00822A34" w:rsidRDefault="22A97329" w:rsidP="5A88ABE8">
      <w:pPr>
        <w:rPr>
          <w:rFonts w:ascii="Arial" w:eastAsia="Aptos" w:hAnsi="Arial" w:cs="Arial"/>
          <w:sz w:val="24"/>
          <w:szCs w:val="24"/>
        </w:rPr>
      </w:pPr>
      <w:r w:rsidRPr="00822A34">
        <w:rPr>
          <w:rFonts w:ascii="Arial" w:eastAsia="Aptos" w:hAnsi="Arial" w:cs="Arial"/>
          <w:sz w:val="24"/>
          <w:szCs w:val="24"/>
        </w:rPr>
        <w:t>Whether research, audit, evaluation, or QI, if University of Leeds students are to participate, you must</w:t>
      </w:r>
      <w:r w:rsidR="23847B69" w:rsidRPr="00822A34">
        <w:rPr>
          <w:rFonts w:ascii="Arial" w:eastAsia="Aptos" w:hAnsi="Arial" w:cs="Arial"/>
          <w:sz w:val="24"/>
          <w:szCs w:val="24"/>
        </w:rPr>
        <w:t xml:space="preserve"> c</w:t>
      </w:r>
      <w:r w:rsidRPr="00822A34">
        <w:rPr>
          <w:rFonts w:ascii="Arial" w:eastAsia="Aptos" w:hAnsi="Arial" w:cs="Arial"/>
          <w:sz w:val="24"/>
          <w:szCs w:val="24"/>
        </w:rPr>
        <w:t xml:space="preserve">ontact the Director of Student Education (DSE) to request permission for student participation. The DSE acts as </w:t>
      </w:r>
      <w:r w:rsidRPr="00822A34">
        <w:rPr>
          <w:rFonts w:ascii="Arial" w:eastAsia="Aptos" w:hAnsi="Arial" w:cs="Arial"/>
          <w:i/>
          <w:iCs/>
          <w:sz w:val="24"/>
          <w:szCs w:val="24"/>
        </w:rPr>
        <w:t>Gatekeeper</w:t>
      </w:r>
      <w:r w:rsidRPr="00822A34">
        <w:rPr>
          <w:rFonts w:ascii="Arial" w:eastAsia="Aptos" w:hAnsi="Arial" w:cs="Arial"/>
          <w:sz w:val="24"/>
          <w:szCs w:val="24"/>
        </w:rPr>
        <w:t xml:space="preserve"> to safeguard students.</w:t>
      </w:r>
    </w:p>
    <w:p w14:paraId="6B7FD437" w14:textId="77777777" w:rsidR="003B13B8" w:rsidRDefault="304FB509" w:rsidP="5A88ABE8">
      <w:pPr>
        <w:rPr>
          <w:rFonts w:ascii="Arial" w:eastAsia="Aptos" w:hAnsi="Arial" w:cs="Arial"/>
          <w:sz w:val="24"/>
          <w:szCs w:val="24"/>
        </w:rPr>
      </w:pPr>
      <w:r w:rsidRPr="00822A34">
        <w:rPr>
          <w:rFonts w:ascii="Arial" w:eastAsia="Aptos" w:hAnsi="Arial" w:cs="Arial"/>
          <w:sz w:val="24"/>
          <w:szCs w:val="24"/>
        </w:rPr>
        <w:t>You must submit</w:t>
      </w:r>
      <w:r w:rsidR="00545C88">
        <w:rPr>
          <w:rFonts w:ascii="Arial" w:eastAsia="Aptos" w:hAnsi="Arial" w:cs="Arial"/>
          <w:sz w:val="24"/>
          <w:szCs w:val="24"/>
        </w:rPr>
        <w:t xml:space="preserve"> the </w:t>
      </w:r>
      <w:r w:rsidR="00545C88" w:rsidRPr="0031267D">
        <w:rPr>
          <w:rFonts w:ascii="Arial" w:hAnsi="Arial" w:cs="Arial"/>
          <w:b/>
          <w:bCs/>
        </w:rPr>
        <w:t>School of Medicine (</w:t>
      </w:r>
      <w:proofErr w:type="spellStart"/>
      <w:r w:rsidR="00545C88" w:rsidRPr="0031267D">
        <w:rPr>
          <w:rFonts w:ascii="Arial" w:hAnsi="Arial" w:cs="Arial"/>
          <w:b/>
          <w:bCs/>
        </w:rPr>
        <w:t>SoM</w:t>
      </w:r>
      <w:proofErr w:type="spellEnd"/>
      <w:r w:rsidR="00545C88" w:rsidRPr="0031267D">
        <w:rPr>
          <w:rFonts w:ascii="Arial" w:hAnsi="Arial" w:cs="Arial"/>
          <w:b/>
          <w:bCs/>
        </w:rPr>
        <w:t>), University of Leeds Gate Keeper Request Approval Form</w:t>
      </w:r>
      <w:r w:rsidR="00540CF5">
        <w:rPr>
          <w:rFonts w:ascii="Arial" w:hAnsi="Arial" w:cs="Arial"/>
          <w:b/>
          <w:bCs/>
        </w:rPr>
        <w:t xml:space="preserve"> </w:t>
      </w:r>
      <w:r w:rsidRPr="00822A34">
        <w:rPr>
          <w:rFonts w:ascii="Arial" w:eastAsia="Aptos" w:hAnsi="Arial" w:cs="Arial"/>
          <w:sz w:val="24"/>
          <w:szCs w:val="24"/>
        </w:rPr>
        <w:t>to the DSE</w:t>
      </w:r>
      <w:r w:rsidR="00D61F9A">
        <w:rPr>
          <w:rFonts w:ascii="Arial" w:eastAsia="Aptos" w:hAnsi="Arial" w:cs="Arial"/>
          <w:sz w:val="24"/>
          <w:szCs w:val="24"/>
        </w:rPr>
        <w:t xml:space="preserve"> (</w:t>
      </w:r>
      <w:r w:rsidR="00D61F9A" w:rsidRPr="00D61F9A">
        <w:rPr>
          <w:rFonts w:ascii="Arial" w:eastAsia="Aptos" w:hAnsi="Arial" w:cs="Arial"/>
          <w:sz w:val="24"/>
          <w:szCs w:val="24"/>
        </w:rPr>
        <w:t>Katherine Paradine</w:t>
      </w:r>
      <w:r w:rsidR="008C1FE0">
        <w:rPr>
          <w:rFonts w:ascii="Arial" w:eastAsia="Aptos" w:hAnsi="Arial" w:cs="Arial"/>
          <w:sz w:val="24"/>
          <w:szCs w:val="24"/>
        </w:rPr>
        <w:t xml:space="preserve"> </w:t>
      </w:r>
      <w:hyperlink r:id="rId8" w:history="1">
        <w:r w:rsidR="00540CF5" w:rsidRPr="0056757D">
          <w:rPr>
            <w:rStyle w:val="Hyperlink"/>
            <w:rFonts w:ascii="Arial" w:eastAsia="Aptos" w:hAnsi="Arial" w:cs="Arial"/>
            <w:sz w:val="24"/>
            <w:szCs w:val="24"/>
          </w:rPr>
          <w:t>-K.Bridge@leeds.ac.uk</w:t>
        </w:r>
      </w:hyperlink>
      <w:r w:rsidR="008C1FE0">
        <w:rPr>
          <w:rFonts w:ascii="Arial" w:eastAsia="Aptos" w:hAnsi="Arial" w:cs="Arial"/>
          <w:sz w:val="24"/>
          <w:szCs w:val="24"/>
        </w:rPr>
        <w:t>)</w:t>
      </w:r>
      <w:r w:rsidR="00540CF5">
        <w:rPr>
          <w:rFonts w:ascii="Arial" w:eastAsia="Aptos" w:hAnsi="Arial" w:cs="Arial"/>
          <w:sz w:val="24"/>
          <w:szCs w:val="24"/>
        </w:rPr>
        <w:t xml:space="preserve">. </w:t>
      </w:r>
      <w:r w:rsidR="00545C88">
        <w:rPr>
          <w:rFonts w:ascii="Arial" w:eastAsia="Aptos" w:hAnsi="Arial" w:cs="Arial"/>
          <w:sz w:val="24"/>
          <w:szCs w:val="24"/>
        </w:rPr>
        <w:t xml:space="preserve">This will be reviewed </w:t>
      </w:r>
      <w:r w:rsidR="00540CF5">
        <w:rPr>
          <w:rFonts w:ascii="Arial" w:eastAsia="Aptos" w:hAnsi="Arial" w:cs="Arial"/>
          <w:sz w:val="24"/>
          <w:szCs w:val="24"/>
        </w:rPr>
        <w:t>internal</w:t>
      </w:r>
      <w:r w:rsidR="003B13B8">
        <w:rPr>
          <w:rFonts w:ascii="Arial" w:eastAsia="Aptos" w:hAnsi="Arial" w:cs="Arial"/>
          <w:sz w:val="24"/>
          <w:szCs w:val="24"/>
        </w:rPr>
        <w:t xml:space="preserve">ly </w:t>
      </w:r>
      <w:r w:rsidR="00545C88">
        <w:rPr>
          <w:rFonts w:ascii="Arial" w:eastAsia="Aptos" w:hAnsi="Arial" w:cs="Arial"/>
          <w:sz w:val="24"/>
          <w:szCs w:val="24"/>
        </w:rPr>
        <w:t>and returned to you with</w:t>
      </w:r>
      <w:r w:rsidR="003D60C7">
        <w:rPr>
          <w:rFonts w:ascii="Arial" w:eastAsia="Aptos" w:hAnsi="Arial" w:cs="Arial"/>
          <w:sz w:val="24"/>
          <w:szCs w:val="24"/>
        </w:rPr>
        <w:t xml:space="preserve"> a reference number. Once </w:t>
      </w:r>
      <w:r w:rsidR="003D60C7">
        <w:rPr>
          <w:rFonts w:ascii="Arial" w:eastAsia="Aptos" w:hAnsi="Arial" w:cs="Arial"/>
          <w:sz w:val="24"/>
          <w:szCs w:val="24"/>
        </w:rPr>
        <w:lastRenderedPageBreak/>
        <w:t xml:space="preserve">you have receipt of this and signed confirmation </w:t>
      </w:r>
      <w:r w:rsidR="00540CF5">
        <w:rPr>
          <w:rFonts w:ascii="Arial" w:eastAsia="Aptos" w:hAnsi="Arial" w:cs="Arial"/>
          <w:sz w:val="24"/>
          <w:szCs w:val="24"/>
        </w:rPr>
        <w:t xml:space="preserve">you will be able to undertake your project. </w:t>
      </w:r>
    </w:p>
    <w:p w14:paraId="6BA1A7EC" w14:textId="7699207A" w:rsidR="630FDE2B" w:rsidRPr="00540CF5" w:rsidRDefault="630FDE2B" w:rsidP="5A88ABE8">
      <w:pPr>
        <w:rPr>
          <w:rFonts w:ascii="Arial" w:hAnsi="Arial" w:cs="Arial"/>
          <w:b/>
          <w:bCs/>
        </w:rPr>
      </w:pPr>
      <w:r w:rsidRPr="00822A34">
        <w:rPr>
          <w:rFonts w:ascii="Arial" w:hAnsi="Arial" w:cs="Arial"/>
          <w:b/>
          <w:bCs/>
          <w:sz w:val="24"/>
          <w:szCs w:val="24"/>
        </w:rPr>
        <w:t>Safeguarding participants</w:t>
      </w:r>
    </w:p>
    <w:p w14:paraId="4A3F06A4" w14:textId="65983378" w:rsidR="00F8219F" w:rsidRPr="00822A34" w:rsidRDefault="785ADD18">
      <w:pPr>
        <w:rPr>
          <w:rFonts w:ascii="Arial" w:hAnsi="Arial" w:cs="Arial"/>
          <w:b/>
          <w:bCs/>
          <w:sz w:val="24"/>
          <w:szCs w:val="24"/>
        </w:rPr>
      </w:pPr>
      <w:r w:rsidRPr="00822A34">
        <w:rPr>
          <w:rFonts w:ascii="Arial" w:hAnsi="Arial" w:cs="Arial"/>
          <w:b/>
          <w:bCs/>
          <w:sz w:val="24"/>
          <w:szCs w:val="24"/>
        </w:rPr>
        <w:t xml:space="preserve">Avoiding </w:t>
      </w:r>
      <w:r w:rsidR="0C9A393F" w:rsidRPr="00822A34">
        <w:rPr>
          <w:rFonts w:ascii="Arial" w:hAnsi="Arial" w:cs="Arial"/>
          <w:b/>
          <w:bCs/>
          <w:sz w:val="24"/>
          <w:szCs w:val="24"/>
        </w:rPr>
        <w:t>coercion</w:t>
      </w:r>
    </w:p>
    <w:p w14:paraId="3766B93C" w14:textId="77777777" w:rsidR="007A4CDA" w:rsidRPr="00822A34" w:rsidRDefault="00BD0F7D" w:rsidP="00F8219F">
      <w:pPr>
        <w:rPr>
          <w:rFonts w:ascii="Arial" w:hAnsi="Arial" w:cs="Arial"/>
          <w:sz w:val="24"/>
          <w:szCs w:val="24"/>
        </w:rPr>
      </w:pPr>
      <w:r w:rsidRPr="00822A34">
        <w:rPr>
          <w:rFonts w:ascii="Arial" w:hAnsi="Arial" w:cs="Arial"/>
          <w:sz w:val="24"/>
          <w:szCs w:val="24"/>
        </w:rPr>
        <w:t xml:space="preserve">Steps must be taken to minimise power </w:t>
      </w:r>
      <w:r w:rsidR="00424330" w:rsidRPr="00822A34">
        <w:rPr>
          <w:rFonts w:ascii="Arial" w:hAnsi="Arial" w:cs="Arial"/>
          <w:sz w:val="24"/>
          <w:szCs w:val="24"/>
        </w:rPr>
        <w:t xml:space="preserve">imbalance between student/faculty. It must be clear that participation will not influence placement assessment or outcomes. </w:t>
      </w:r>
    </w:p>
    <w:p w14:paraId="44C76D84" w14:textId="77777777" w:rsidR="007A4CDA" w:rsidRPr="00822A34" w:rsidRDefault="007A4CDA" w:rsidP="007A4CDA">
      <w:pPr>
        <w:rPr>
          <w:rFonts w:ascii="Arial" w:hAnsi="Arial" w:cs="Arial"/>
          <w:b/>
          <w:bCs/>
          <w:sz w:val="24"/>
          <w:szCs w:val="24"/>
        </w:rPr>
      </w:pPr>
      <w:r w:rsidRPr="00822A34">
        <w:rPr>
          <w:rFonts w:ascii="Arial" w:hAnsi="Arial" w:cs="Arial"/>
          <w:b/>
          <w:bCs/>
          <w:sz w:val="24"/>
          <w:szCs w:val="24"/>
        </w:rPr>
        <w:t>Voluntary Participation:</w:t>
      </w:r>
    </w:p>
    <w:p w14:paraId="31C12B5C" w14:textId="16E3C02D" w:rsidR="007A4CDA" w:rsidRPr="00822A34" w:rsidRDefault="007A4CDA" w:rsidP="007A4CDA">
      <w:pPr>
        <w:rPr>
          <w:rFonts w:ascii="Arial" w:hAnsi="Arial" w:cs="Arial"/>
          <w:sz w:val="24"/>
          <w:szCs w:val="24"/>
        </w:rPr>
      </w:pPr>
      <w:r w:rsidRPr="00822A34">
        <w:rPr>
          <w:rFonts w:ascii="Arial" w:hAnsi="Arial" w:cs="Arial"/>
          <w:sz w:val="24"/>
          <w:szCs w:val="24"/>
        </w:rPr>
        <w:t xml:space="preserve">It is vital that any activity is </w:t>
      </w:r>
      <w:r w:rsidRPr="00822A34">
        <w:rPr>
          <w:rFonts w:ascii="Arial" w:hAnsi="Arial" w:cs="Arial"/>
          <w:b/>
          <w:bCs/>
          <w:sz w:val="24"/>
          <w:szCs w:val="24"/>
        </w:rPr>
        <w:t>in addition</w:t>
      </w:r>
      <w:r w:rsidRPr="00822A34">
        <w:rPr>
          <w:rFonts w:ascii="Arial" w:hAnsi="Arial" w:cs="Arial"/>
          <w:sz w:val="24"/>
          <w:szCs w:val="24"/>
        </w:rPr>
        <w:t xml:space="preserve"> to the existing and agreed placement offer for students. Any student who declines to take part should still be able to fully meet the learning outcomes of the placement and should be engaged in placement activity for the full duration of any agreed placement.  </w:t>
      </w:r>
    </w:p>
    <w:p w14:paraId="57282E07" w14:textId="4D46FD0D" w:rsidR="00F8219F" w:rsidRPr="00822A34" w:rsidRDefault="00F8219F" w:rsidP="00F8219F">
      <w:pPr>
        <w:rPr>
          <w:rFonts w:ascii="Arial" w:hAnsi="Arial" w:cs="Arial"/>
          <w:b/>
          <w:bCs/>
          <w:sz w:val="24"/>
          <w:szCs w:val="24"/>
        </w:rPr>
      </w:pPr>
      <w:r w:rsidRPr="00822A34">
        <w:rPr>
          <w:rFonts w:ascii="Arial" w:hAnsi="Arial" w:cs="Arial"/>
          <w:b/>
          <w:bCs/>
          <w:sz w:val="24"/>
          <w:szCs w:val="24"/>
        </w:rPr>
        <w:t>Anonymity and confidentiality</w:t>
      </w:r>
    </w:p>
    <w:p w14:paraId="67684596" w14:textId="46885C8B" w:rsidR="00DB699F" w:rsidRPr="00822A34" w:rsidRDefault="00902D00">
      <w:pPr>
        <w:rPr>
          <w:rFonts w:ascii="Arial" w:hAnsi="Arial" w:cs="Arial"/>
          <w:sz w:val="24"/>
          <w:szCs w:val="24"/>
        </w:rPr>
      </w:pPr>
      <w:r w:rsidRPr="00822A34">
        <w:rPr>
          <w:rFonts w:ascii="Arial" w:hAnsi="Arial" w:cs="Arial"/>
          <w:sz w:val="24"/>
          <w:szCs w:val="24"/>
        </w:rPr>
        <w:t xml:space="preserve">For any data collected from students as part of </w:t>
      </w:r>
      <w:r w:rsidR="008D09FE" w:rsidRPr="00822A34">
        <w:rPr>
          <w:rFonts w:ascii="Arial" w:hAnsi="Arial" w:cs="Arial"/>
          <w:sz w:val="24"/>
          <w:szCs w:val="24"/>
        </w:rPr>
        <w:t xml:space="preserve">research, </w:t>
      </w:r>
      <w:r w:rsidRPr="00822A34">
        <w:rPr>
          <w:rFonts w:ascii="Arial" w:hAnsi="Arial" w:cs="Arial"/>
          <w:sz w:val="24"/>
          <w:szCs w:val="24"/>
        </w:rPr>
        <w:t>audit, evaluation and quality improvement projects must clearly inform the student how their data will be used i.e. publications/</w:t>
      </w:r>
      <w:r w:rsidR="00F8219F" w:rsidRPr="00822A34">
        <w:rPr>
          <w:rFonts w:ascii="Arial" w:hAnsi="Arial" w:cs="Arial"/>
          <w:sz w:val="24"/>
          <w:szCs w:val="24"/>
        </w:rPr>
        <w:t>presentations,</w:t>
      </w:r>
      <w:r w:rsidR="00D61F9A">
        <w:rPr>
          <w:rFonts w:ascii="Arial" w:hAnsi="Arial" w:cs="Arial"/>
          <w:sz w:val="24"/>
          <w:szCs w:val="24"/>
        </w:rPr>
        <w:t xml:space="preserve"> stored, who will have access. Students</w:t>
      </w:r>
      <w:r w:rsidRPr="00822A34">
        <w:rPr>
          <w:rFonts w:ascii="Arial" w:hAnsi="Arial" w:cs="Arial"/>
          <w:sz w:val="24"/>
          <w:szCs w:val="24"/>
        </w:rPr>
        <w:t xml:space="preserve"> must sign to confirm they understand how their data will be used</w:t>
      </w:r>
      <w:r w:rsidR="00D61F9A">
        <w:rPr>
          <w:rFonts w:ascii="Arial" w:hAnsi="Arial" w:cs="Arial"/>
          <w:sz w:val="24"/>
          <w:szCs w:val="24"/>
        </w:rPr>
        <w:t xml:space="preserve"> and any potential for re use of data</w:t>
      </w:r>
      <w:r w:rsidRPr="00822A34">
        <w:rPr>
          <w:rFonts w:ascii="Arial" w:hAnsi="Arial" w:cs="Arial"/>
          <w:sz w:val="24"/>
          <w:szCs w:val="24"/>
        </w:rPr>
        <w:t xml:space="preserve">. </w:t>
      </w:r>
      <w:r w:rsidR="00F8219F" w:rsidRPr="00822A34">
        <w:rPr>
          <w:rFonts w:ascii="Arial" w:hAnsi="Arial" w:cs="Arial"/>
          <w:sz w:val="24"/>
          <w:szCs w:val="24"/>
        </w:rPr>
        <w:t xml:space="preserve">Measures must be in place to protect anonymity and confidentiality. </w:t>
      </w:r>
    </w:p>
    <w:p w14:paraId="105E644E" w14:textId="288BBCA0" w:rsidR="5A88ABE8" w:rsidRPr="00822A34" w:rsidRDefault="5A88ABE8" w:rsidP="5A88ABE8">
      <w:pPr>
        <w:rPr>
          <w:rFonts w:ascii="Arial" w:hAnsi="Arial" w:cs="Arial"/>
          <w:sz w:val="24"/>
          <w:szCs w:val="24"/>
        </w:rPr>
      </w:pPr>
    </w:p>
    <w:sectPr w:rsidR="5A88ABE8" w:rsidRPr="00822A34">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E95BD" w14:textId="77777777" w:rsidR="00DB43CC" w:rsidRDefault="00DB43CC" w:rsidP="008C1FE0">
      <w:pPr>
        <w:spacing w:after="0" w:line="240" w:lineRule="auto"/>
      </w:pPr>
      <w:r>
        <w:separator/>
      </w:r>
    </w:p>
  </w:endnote>
  <w:endnote w:type="continuationSeparator" w:id="0">
    <w:p w14:paraId="58C796B7" w14:textId="77777777" w:rsidR="00DB43CC" w:rsidRDefault="00DB43CC" w:rsidP="008C1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A5B04" w14:textId="23A4D54F" w:rsidR="008C1FE0" w:rsidRDefault="008C1FE0">
    <w:pPr>
      <w:pStyle w:val="Footer"/>
    </w:pPr>
    <w:r>
      <w:t xml:space="preserve">20 Nov 2025 V1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566EB" w14:textId="77777777" w:rsidR="00DB43CC" w:rsidRDefault="00DB43CC" w:rsidP="008C1FE0">
      <w:pPr>
        <w:spacing w:after="0" w:line="240" w:lineRule="auto"/>
      </w:pPr>
      <w:r>
        <w:separator/>
      </w:r>
    </w:p>
  </w:footnote>
  <w:footnote w:type="continuationSeparator" w:id="0">
    <w:p w14:paraId="780C21E2" w14:textId="77777777" w:rsidR="00DB43CC" w:rsidRDefault="00DB43CC" w:rsidP="008C1F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06A84" w14:textId="73D98750" w:rsidR="008C1FE0" w:rsidRDefault="008C1FE0" w:rsidP="00AE4158">
    <w:pPr>
      <w:pStyle w:val="Header"/>
      <w:jc w:val="right"/>
    </w:pPr>
    <w:r>
      <w:rPr>
        <w:noProof/>
      </w:rPr>
      <w:drawing>
        <wp:inline distT="0" distB="0" distL="0" distR="0" wp14:anchorId="5C0C500D" wp14:editId="5F67DA2A">
          <wp:extent cx="1570944" cy="666750"/>
          <wp:effectExtent l="0" t="0" r="0" b="0"/>
          <wp:docPr id="1119487929" name="Picture 1119487929" descr="University of Leeds logo transparent PNG - 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of Leeds logo transparent PNG - Sti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403" cy="679253"/>
                  </a:xfrm>
                  <a:prstGeom prst="rect">
                    <a:avLst/>
                  </a:prstGeom>
                  <a:noFill/>
                  <a:ln>
                    <a:noFill/>
                  </a:ln>
                </pic:spPr>
              </pic:pic>
            </a:graphicData>
          </a:graphic>
        </wp:inline>
      </w:drawing>
    </w:r>
  </w:p>
  <w:p w14:paraId="2C73EB3E" w14:textId="13659F8D" w:rsidR="008C1FE0" w:rsidRDefault="008C1F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ADAF8"/>
    <w:multiLevelType w:val="hybridMultilevel"/>
    <w:tmpl w:val="E61E88CA"/>
    <w:lvl w:ilvl="0" w:tplc="4892A0CA">
      <w:start w:val="1"/>
      <w:numFmt w:val="bullet"/>
      <w:lvlText w:val=""/>
      <w:lvlJc w:val="left"/>
      <w:pPr>
        <w:ind w:left="720" w:hanging="360"/>
      </w:pPr>
      <w:rPr>
        <w:rFonts w:ascii="Symbol" w:hAnsi="Symbol" w:hint="default"/>
      </w:rPr>
    </w:lvl>
    <w:lvl w:ilvl="1" w:tplc="0F8A63A2">
      <w:start w:val="1"/>
      <w:numFmt w:val="bullet"/>
      <w:lvlText w:val="o"/>
      <w:lvlJc w:val="left"/>
      <w:pPr>
        <w:ind w:left="1440" w:hanging="360"/>
      </w:pPr>
      <w:rPr>
        <w:rFonts w:ascii="Courier New" w:hAnsi="Courier New" w:hint="default"/>
      </w:rPr>
    </w:lvl>
    <w:lvl w:ilvl="2" w:tplc="CDF850BC">
      <w:start w:val="1"/>
      <w:numFmt w:val="bullet"/>
      <w:lvlText w:val=""/>
      <w:lvlJc w:val="left"/>
      <w:pPr>
        <w:ind w:left="2160" w:hanging="360"/>
      </w:pPr>
      <w:rPr>
        <w:rFonts w:ascii="Wingdings" w:hAnsi="Wingdings" w:hint="default"/>
      </w:rPr>
    </w:lvl>
    <w:lvl w:ilvl="3" w:tplc="D2BAA224">
      <w:start w:val="1"/>
      <w:numFmt w:val="bullet"/>
      <w:lvlText w:val=""/>
      <w:lvlJc w:val="left"/>
      <w:pPr>
        <w:ind w:left="2880" w:hanging="360"/>
      </w:pPr>
      <w:rPr>
        <w:rFonts w:ascii="Symbol" w:hAnsi="Symbol" w:hint="default"/>
      </w:rPr>
    </w:lvl>
    <w:lvl w:ilvl="4" w:tplc="EF8ED462">
      <w:start w:val="1"/>
      <w:numFmt w:val="bullet"/>
      <w:lvlText w:val="o"/>
      <w:lvlJc w:val="left"/>
      <w:pPr>
        <w:ind w:left="3600" w:hanging="360"/>
      </w:pPr>
      <w:rPr>
        <w:rFonts w:ascii="Courier New" w:hAnsi="Courier New" w:hint="default"/>
      </w:rPr>
    </w:lvl>
    <w:lvl w:ilvl="5" w:tplc="55D89840">
      <w:start w:val="1"/>
      <w:numFmt w:val="bullet"/>
      <w:lvlText w:val=""/>
      <w:lvlJc w:val="left"/>
      <w:pPr>
        <w:ind w:left="4320" w:hanging="360"/>
      </w:pPr>
      <w:rPr>
        <w:rFonts w:ascii="Wingdings" w:hAnsi="Wingdings" w:hint="default"/>
      </w:rPr>
    </w:lvl>
    <w:lvl w:ilvl="6" w:tplc="5A283DD8">
      <w:start w:val="1"/>
      <w:numFmt w:val="bullet"/>
      <w:lvlText w:val=""/>
      <w:lvlJc w:val="left"/>
      <w:pPr>
        <w:ind w:left="5040" w:hanging="360"/>
      </w:pPr>
      <w:rPr>
        <w:rFonts w:ascii="Symbol" w:hAnsi="Symbol" w:hint="default"/>
      </w:rPr>
    </w:lvl>
    <w:lvl w:ilvl="7" w:tplc="1B4CBC9C">
      <w:start w:val="1"/>
      <w:numFmt w:val="bullet"/>
      <w:lvlText w:val="o"/>
      <w:lvlJc w:val="left"/>
      <w:pPr>
        <w:ind w:left="5760" w:hanging="360"/>
      </w:pPr>
      <w:rPr>
        <w:rFonts w:ascii="Courier New" w:hAnsi="Courier New" w:hint="default"/>
      </w:rPr>
    </w:lvl>
    <w:lvl w:ilvl="8" w:tplc="2C648432">
      <w:start w:val="1"/>
      <w:numFmt w:val="bullet"/>
      <w:lvlText w:val=""/>
      <w:lvlJc w:val="left"/>
      <w:pPr>
        <w:ind w:left="6480" w:hanging="360"/>
      </w:pPr>
      <w:rPr>
        <w:rFonts w:ascii="Wingdings" w:hAnsi="Wingdings" w:hint="default"/>
      </w:rPr>
    </w:lvl>
  </w:abstractNum>
  <w:abstractNum w:abstractNumId="1" w15:restartNumberingAfterBreak="0">
    <w:nsid w:val="4774DDBF"/>
    <w:multiLevelType w:val="hybridMultilevel"/>
    <w:tmpl w:val="6CAA1DD8"/>
    <w:lvl w:ilvl="0" w:tplc="350C769A">
      <w:start w:val="1"/>
      <w:numFmt w:val="bullet"/>
      <w:lvlText w:val=""/>
      <w:lvlJc w:val="left"/>
      <w:pPr>
        <w:ind w:left="720" w:hanging="360"/>
      </w:pPr>
      <w:rPr>
        <w:rFonts w:ascii="Symbol" w:hAnsi="Symbol" w:hint="default"/>
      </w:rPr>
    </w:lvl>
    <w:lvl w:ilvl="1" w:tplc="7292C020">
      <w:start w:val="1"/>
      <w:numFmt w:val="bullet"/>
      <w:lvlText w:val="o"/>
      <w:lvlJc w:val="left"/>
      <w:pPr>
        <w:ind w:left="1440" w:hanging="360"/>
      </w:pPr>
      <w:rPr>
        <w:rFonts w:ascii="Courier New" w:hAnsi="Courier New" w:hint="default"/>
      </w:rPr>
    </w:lvl>
    <w:lvl w:ilvl="2" w:tplc="FF389DBE">
      <w:start w:val="1"/>
      <w:numFmt w:val="bullet"/>
      <w:lvlText w:val=""/>
      <w:lvlJc w:val="left"/>
      <w:pPr>
        <w:ind w:left="2160" w:hanging="360"/>
      </w:pPr>
      <w:rPr>
        <w:rFonts w:ascii="Wingdings" w:hAnsi="Wingdings" w:hint="default"/>
      </w:rPr>
    </w:lvl>
    <w:lvl w:ilvl="3" w:tplc="F29CEE68">
      <w:start w:val="1"/>
      <w:numFmt w:val="bullet"/>
      <w:lvlText w:val=""/>
      <w:lvlJc w:val="left"/>
      <w:pPr>
        <w:ind w:left="2880" w:hanging="360"/>
      </w:pPr>
      <w:rPr>
        <w:rFonts w:ascii="Symbol" w:hAnsi="Symbol" w:hint="default"/>
      </w:rPr>
    </w:lvl>
    <w:lvl w:ilvl="4" w:tplc="BC4AD992">
      <w:start w:val="1"/>
      <w:numFmt w:val="bullet"/>
      <w:lvlText w:val="o"/>
      <w:lvlJc w:val="left"/>
      <w:pPr>
        <w:ind w:left="3600" w:hanging="360"/>
      </w:pPr>
      <w:rPr>
        <w:rFonts w:ascii="Courier New" w:hAnsi="Courier New" w:hint="default"/>
      </w:rPr>
    </w:lvl>
    <w:lvl w:ilvl="5" w:tplc="4D3A3684">
      <w:start w:val="1"/>
      <w:numFmt w:val="bullet"/>
      <w:lvlText w:val=""/>
      <w:lvlJc w:val="left"/>
      <w:pPr>
        <w:ind w:left="4320" w:hanging="360"/>
      </w:pPr>
      <w:rPr>
        <w:rFonts w:ascii="Wingdings" w:hAnsi="Wingdings" w:hint="default"/>
      </w:rPr>
    </w:lvl>
    <w:lvl w:ilvl="6" w:tplc="DD6E69AE">
      <w:start w:val="1"/>
      <w:numFmt w:val="bullet"/>
      <w:lvlText w:val=""/>
      <w:lvlJc w:val="left"/>
      <w:pPr>
        <w:ind w:left="5040" w:hanging="360"/>
      </w:pPr>
      <w:rPr>
        <w:rFonts w:ascii="Symbol" w:hAnsi="Symbol" w:hint="default"/>
      </w:rPr>
    </w:lvl>
    <w:lvl w:ilvl="7" w:tplc="9DECE3C0">
      <w:start w:val="1"/>
      <w:numFmt w:val="bullet"/>
      <w:lvlText w:val="o"/>
      <w:lvlJc w:val="left"/>
      <w:pPr>
        <w:ind w:left="5760" w:hanging="360"/>
      </w:pPr>
      <w:rPr>
        <w:rFonts w:ascii="Courier New" w:hAnsi="Courier New" w:hint="default"/>
      </w:rPr>
    </w:lvl>
    <w:lvl w:ilvl="8" w:tplc="C390DFC2">
      <w:start w:val="1"/>
      <w:numFmt w:val="bullet"/>
      <w:lvlText w:val=""/>
      <w:lvlJc w:val="left"/>
      <w:pPr>
        <w:ind w:left="6480" w:hanging="360"/>
      </w:pPr>
      <w:rPr>
        <w:rFonts w:ascii="Wingdings" w:hAnsi="Wingdings" w:hint="default"/>
      </w:rPr>
    </w:lvl>
  </w:abstractNum>
  <w:abstractNum w:abstractNumId="2" w15:restartNumberingAfterBreak="0">
    <w:nsid w:val="49F425D6"/>
    <w:multiLevelType w:val="hybridMultilevel"/>
    <w:tmpl w:val="D8F239AA"/>
    <w:lvl w:ilvl="0" w:tplc="C170761E">
      <w:start w:val="1"/>
      <w:numFmt w:val="bullet"/>
      <w:lvlText w:val=""/>
      <w:lvlJc w:val="left"/>
      <w:pPr>
        <w:ind w:left="720" w:hanging="360"/>
      </w:pPr>
      <w:rPr>
        <w:rFonts w:ascii="Symbol" w:hAnsi="Symbol" w:hint="default"/>
      </w:rPr>
    </w:lvl>
    <w:lvl w:ilvl="1" w:tplc="CF520CE2">
      <w:start w:val="1"/>
      <w:numFmt w:val="bullet"/>
      <w:lvlText w:val="o"/>
      <w:lvlJc w:val="left"/>
      <w:pPr>
        <w:ind w:left="1440" w:hanging="360"/>
      </w:pPr>
      <w:rPr>
        <w:rFonts w:ascii="Courier New" w:hAnsi="Courier New" w:hint="default"/>
      </w:rPr>
    </w:lvl>
    <w:lvl w:ilvl="2" w:tplc="7DE671EC">
      <w:start w:val="1"/>
      <w:numFmt w:val="bullet"/>
      <w:lvlText w:val=""/>
      <w:lvlJc w:val="left"/>
      <w:pPr>
        <w:ind w:left="2160" w:hanging="360"/>
      </w:pPr>
      <w:rPr>
        <w:rFonts w:ascii="Wingdings" w:hAnsi="Wingdings" w:hint="default"/>
      </w:rPr>
    </w:lvl>
    <w:lvl w:ilvl="3" w:tplc="D1EC0B68">
      <w:start w:val="1"/>
      <w:numFmt w:val="bullet"/>
      <w:lvlText w:val=""/>
      <w:lvlJc w:val="left"/>
      <w:pPr>
        <w:ind w:left="2880" w:hanging="360"/>
      </w:pPr>
      <w:rPr>
        <w:rFonts w:ascii="Symbol" w:hAnsi="Symbol" w:hint="default"/>
      </w:rPr>
    </w:lvl>
    <w:lvl w:ilvl="4" w:tplc="F6607F90">
      <w:start w:val="1"/>
      <w:numFmt w:val="bullet"/>
      <w:lvlText w:val="o"/>
      <w:lvlJc w:val="left"/>
      <w:pPr>
        <w:ind w:left="3600" w:hanging="360"/>
      </w:pPr>
      <w:rPr>
        <w:rFonts w:ascii="Courier New" w:hAnsi="Courier New" w:hint="default"/>
      </w:rPr>
    </w:lvl>
    <w:lvl w:ilvl="5" w:tplc="47807382">
      <w:start w:val="1"/>
      <w:numFmt w:val="bullet"/>
      <w:lvlText w:val=""/>
      <w:lvlJc w:val="left"/>
      <w:pPr>
        <w:ind w:left="4320" w:hanging="360"/>
      </w:pPr>
      <w:rPr>
        <w:rFonts w:ascii="Wingdings" w:hAnsi="Wingdings" w:hint="default"/>
      </w:rPr>
    </w:lvl>
    <w:lvl w:ilvl="6" w:tplc="A8E83F46">
      <w:start w:val="1"/>
      <w:numFmt w:val="bullet"/>
      <w:lvlText w:val=""/>
      <w:lvlJc w:val="left"/>
      <w:pPr>
        <w:ind w:left="5040" w:hanging="360"/>
      </w:pPr>
      <w:rPr>
        <w:rFonts w:ascii="Symbol" w:hAnsi="Symbol" w:hint="default"/>
      </w:rPr>
    </w:lvl>
    <w:lvl w:ilvl="7" w:tplc="D062D7D0">
      <w:start w:val="1"/>
      <w:numFmt w:val="bullet"/>
      <w:lvlText w:val="o"/>
      <w:lvlJc w:val="left"/>
      <w:pPr>
        <w:ind w:left="5760" w:hanging="360"/>
      </w:pPr>
      <w:rPr>
        <w:rFonts w:ascii="Courier New" w:hAnsi="Courier New" w:hint="default"/>
      </w:rPr>
    </w:lvl>
    <w:lvl w:ilvl="8" w:tplc="C282810E">
      <w:start w:val="1"/>
      <w:numFmt w:val="bullet"/>
      <w:lvlText w:val=""/>
      <w:lvlJc w:val="left"/>
      <w:pPr>
        <w:ind w:left="6480" w:hanging="360"/>
      </w:pPr>
      <w:rPr>
        <w:rFonts w:ascii="Wingdings" w:hAnsi="Wingdings" w:hint="default"/>
      </w:rPr>
    </w:lvl>
  </w:abstractNum>
  <w:num w:numId="1" w16cid:durableId="1388454909">
    <w:abstractNumId w:val="1"/>
  </w:num>
  <w:num w:numId="2" w16cid:durableId="264076038">
    <w:abstractNumId w:val="2"/>
  </w:num>
  <w:num w:numId="3" w16cid:durableId="1269578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99F"/>
    <w:rsid w:val="00065D23"/>
    <w:rsid w:val="000F0914"/>
    <w:rsid w:val="00126CA0"/>
    <w:rsid w:val="00151BA0"/>
    <w:rsid w:val="001525A6"/>
    <w:rsid w:val="00153B3B"/>
    <w:rsid w:val="00164949"/>
    <w:rsid w:val="001B260C"/>
    <w:rsid w:val="001C5E67"/>
    <w:rsid w:val="0020273E"/>
    <w:rsid w:val="002070D8"/>
    <w:rsid w:val="00244393"/>
    <w:rsid w:val="002C5E8A"/>
    <w:rsid w:val="002D6335"/>
    <w:rsid w:val="00312C6F"/>
    <w:rsid w:val="00351C4A"/>
    <w:rsid w:val="003B13B8"/>
    <w:rsid w:val="003B5685"/>
    <w:rsid w:val="003D60C7"/>
    <w:rsid w:val="003E035B"/>
    <w:rsid w:val="00424330"/>
    <w:rsid w:val="004269B3"/>
    <w:rsid w:val="004C599C"/>
    <w:rsid w:val="004D1C30"/>
    <w:rsid w:val="00540CF5"/>
    <w:rsid w:val="00545C88"/>
    <w:rsid w:val="0056118C"/>
    <w:rsid w:val="00582B6B"/>
    <w:rsid w:val="0064F6C8"/>
    <w:rsid w:val="00695F3B"/>
    <w:rsid w:val="006A6F4B"/>
    <w:rsid w:val="00727948"/>
    <w:rsid w:val="007517F6"/>
    <w:rsid w:val="0077652F"/>
    <w:rsid w:val="00786698"/>
    <w:rsid w:val="007A4CDA"/>
    <w:rsid w:val="007C6F4F"/>
    <w:rsid w:val="0081590B"/>
    <w:rsid w:val="00820316"/>
    <w:rsid w:val="00822A34"/>
    <w:rsid w:val="00831B31"/>
    <w:rsid w:val="0085508C"/>
    <w:rsid w:val="008C1FE0"/>
    <w:rsid w:val="008D09FE"/>
    <w:rsid w:val="00902D00"/>
    <w:rsid w:val="009B758E"/>
    <w:rsid w:val="009D09CC"/>
    <w:rsid w:val="00A06B71"/>
    <w:rsid w:val="00AE4158"/>
    <w:rsid w:val="00B32A4B"/>
    <w:rsid w:val="00BD0F7D"/>
    <w:rsid w:val="00CA2456"/>
    <w:rsid w:val="00CD6CE1"/>
    <w:rsid w:val="00D57A5B"/>
    <w:rsid w:val="00D61F9A"/>
    <w:rsid w:val="00D64451"/>
    <w:rsid w:val="00D85F6A"/>
    <w:rsid w:val="00DB43CC"/>
    <w:rsid w:val="00DB699F"/>
    <w:rsid w:val="00DD6102"/>
    <w:rsid w:val="00DF7CE4"/>
    <w:rsid w:val="00E116B0"/>
    <w:rsid w:val="00E41A4A"/>
    <w:rsid w:val="00F06908"/>
    <w:rsid w:val="00F7411A"/>
    <w:rsid w:val="00F8219F"/>
    <w:rsid w:val="00FA741C"/>
    <w:rsid w:val="0135FEC3"/>
    <w:rsid w:val="01A0DBE0"/>
    <w:rsid w:val="0253B6CB"/>
    <w:rsid w:val="025DD8D4"/>
    <w:rsid w:val="054B4D27"/>
    <w:rsid w:val="063C3287"/>
    <w:rsid w:val="06738E20"/>
    <w:rsid w:val="071BB9BA"/>
    <w:rsid w:val="07575F3F"/>
    <w:rsid w:val="0BBA042E"/>
    <w:rsid w:val="0C07CE55"/>
    <w:rsid w:val="0C719CE6"/>
    <w:rsid w:val="0C9A393F"/>
    <w:rsid w:val="0CEBC388"/>
    <w:rsid w:val="0ED9355B"/>
    <w:rsid w:val="10B9296B"/>
    <w:rsid w:val="11A2671D"/>
    <w:rsid w:val="1337749D"/>
    <w:rsid w:val="190C3EF5"/>
    <w:rsid w:val="19A73F55"/>
    <w:rsid w:val="1A0EB0D5"/>
    <w:rsid w:val="1C601D0E"/>
    <w:rsid w:val="1C97826D"/>
    <w:rsid w:val="1D475C81"/>
    <w:rsid w:val="1E3A2640"/>
    <w:rsid w:val="1F7CCED4"/>
    <w:rsid w:val="22A97329"/>
    <w:rsid w:val="22E8D222"/>
    <w:rsid w:val="23847B69"/>
    <w:rsid w:val="25B27DC8"/>
    <w:rsid w:val="25E1D48A"/>
    <w:rsid w:val="27AA9CDC"/>
    <w:rsid w:val="283E7F8D"/>
    <w:rsid w:val="2A070554"/>
    <w:rsid w:val="2AE0AF4F"/>
    <w:rsid w:val="2B1E6977"/>
    <w:rsid w:val="2CB04AF2"/>
    <w:rsid w:val="2D3420E1"/>
    <w:rsid w:val="2FE3123C"/>
    <w:rsid w:val="304FB509"/>
    <w:rsid w:val="30CC652C"/>
    <w:rsid w:val="3140D222"/>
    <w:rsid w:val="321986CC"/>
    <w:rsid w:val="3637E353"/>
    <w:rsid w:val="36B29C42"/>
    <w:rsid w:val="372BE6C5"/>
    <w:rsid w:val="37492669"/>
    <w:rsid w:val="388D7834"/>
    <w:rsid w:val="39EE8C39"/>
    <w:rsid w:val="3AA33C47"/>
    <w:rsid w:val="3E4CB558"/>
    <w:rsid w:val="3EFC17EA"/>
    <w:rsid w:val="41014009"/>
    <w:rsid w:val="4365BA54"/>
    <w:rsid w:val="444C3399"/>
    <w:rsid w:val="450792FF"/>
    <w:rsid w:val="4632AA78"/>
    <w:rsid w:val="4694E458"/>
    <w:rsid w:val="479ABFE2"/>
    <w:rsid w:val="47BF3FCC"/>
    <w:rsid w:val="49CF5C0C"/>
    <w:rsid w:val="4B763685"/>
    <w:rsid w:val="4B91EBA0"/>
    <w:rsid w:val="4D4F1B15"/>
    <w:rsid w:val="4DA80DAE"/>
    <w:rsid w:val="4DD0985E"/>
    <w:rsid w:val="4E74EE9D"/>
    <w:rsid w:val="4F30E40E"/>
    <w:rsid w:val="4F9CD7AE"/>
    <w:rsid w:val="5223140D"/>
    <w:rsid w:val="52E69DD1"/>
    <w:rsid w:val="535F99E5"/>
    <w:rsid w:val="55AA7472"/>
    <w:rsid w:val="57000175"/>
    <w:rsid w:val="570B4648"/>
    <w:rsid w:val="5A88ABE8"/>
    <w:rsid w:val="5B35A7A9"/>
    <w:rsid w:val="5BC9A545"/>
    <w:rsid w:val="5D1334A4"/>
    <w:rsid w:val="606F3543"/>
    <w:rsid w:val="607AF2FC"/>
    <w:rsid w:val="6285307E"/>
    <w:rsid w:val="62D67DCD"/>
    <w:rsid w:val="630FDE2B"/>
    <w:rsid w:val="635DFB67"/>
    <w:rsid w:val="65C16981"/>
    <w:rsid w:val="66FE6D75"/>
    <w:rsid w:val="6972F0DB"/>
    <w:rsid w:val="69D0850D"/>
    <w:rsid w:val="6AF60453"/>
    <w:rsid w:val="6B1FA91A"/>
    <w:rsid w:val="6BACE7E7"/>
    <w:rsid w:val="6F654C52"/>
    <w:rsid w:val="722EC556"/>
    <w:rsid w:val="748AE178"/>
    <w:rsid w:val="76F90C90"/>
    <w:rsid w:val="7711575B"/>
    <w:rsid w:val="77F02F41"/>
    <w:rsid w:val="785ADD18"/>
    <w:rsid w:val="79F3BBCC"/>
    <w:rsid w:val="7A549538"/>
    <w:rsid w:val="7B5A081E"/>
    <w:rsid w:val="7B967F40"/>
    <w:rsid w:val="7CF0355A"/>
    <w:rsid w:val="7F06B9BD"/>
    <w:rsid w:val="7FBBCF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4598B"/>
  <w15:chartTrackingRefBased/>
  <w15:docId w15:val="{2E9AA31B-BA9E-4654-BF4B-A7961DAD4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69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69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69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69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69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69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69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69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69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9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69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69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69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69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69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69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69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699F"/>
    <w:rPr>
      <w:rFonts w:eastAsiaTheme="majorEastAsia" w:cstheme="majorBidi"/>
      <w:color w:val="272727" w:themeColor="text1" w:themeTint="D8"/>
    </w:rPr>
  </w:style>
  <w:style w:type="paragraph" w:styleId="Title">
    <w:name w:val="Title"/>
    <w:basedOn w:val="Normal"/>
    <w:next w:val="Normal"/>
    <w:link w:val="TitleChar"/>
    <w:uiPriority w:val="10"/>
    <w:qFormat/>
    <w:rsid w:val="00DB69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69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69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69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699F"/>
    <w:pPr>
      <w:spacing w:before="160"/>
      <w:jc w:val="center"/>
    </w:pPr>
    <w:rPr>
      <w:i/>
      <w:iCs/>
      <w:color w:val="404040" w:themeColor="text1" w:themeTint="BF"/>
    </w:rPr>
  </w:style>
  <w:style w:type="character" w:customStyle="1" w:styleId="QuoteChar">
    <w:name w:val="Quote Char"/>
    <w:basedOn w:val="DefaultParagraphFont"/>
    <w:link w:val="Quote"/>
    <w:uiPriority w:val="29"/>
    <w:rsid w:val="00DB699F"/>
    <w:rPr>
      <w:i/>
      <w:iCs/>
      <w:color w:val="404040" w:themeColor="text1" w:themeTint="BF"/>
    </w:rPr>
  </w:style>
  <w:style w:type="paragraph" w:styleId="ListParagraph">
    <w:name w:val="List Paragraph"/>
    <w:basedOn w:val="Normal"/>
    <w:uiPriority w:val="34"/>
    <w:qFormat/>
    <w:rsid w:val="00DB699F"/>
    <w:pPr>
      <w:ind w:left="720"/>
      <w:contextualSpacing/>
    </w:pPr>
  </w:style>
  <w:style w:type="character" w:styleId="IntenseEmphasis">
    <w:name w:val="Intense Emphasis"/>
    <w:basedOn w:val="DefaultParagraphFont"/>
    <w:uiPriority w:val="21"/>
    <w:qFormat/>
    <w:rsid w:val="00DB699F"/>
    <w:rPr>
      <w:i/>
      <w:iCs/>
      <w:color w:val="0F4761" w:themeColor="accent1" w:themeShade="BF"/>
    </w:rPr>
  </w:style>
  <w:style w:type="paragraph" w:styleId="IntenseQuote">
    <w:name w:val="Intense Quote"/>
    <w:basedOn w:val="Normal"/>
    <w:next w:val="Normal"/>
    <w:link w:val="IntenseQuoteChar"/>
    <w:uiPriority w:val="30"/>
    <w:qFormat/>
    <w:rsid w:val="00DB69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699F"/>
    <w:rPr>
      <w:i/>
      <w:iCs/>
      <w:color w:val="0F4761" w:themeColor="accent1" w:themeShade="BF"/>
    </w:rPr>
  </w:style>
  <w:style w:type="character" w:styleId="IntenseReference">
    <w:name w:val="Intense Reference"/>
    <w:basedOn w:val="DefaultParagraphFont"/>
    <w:uiPriority w:val="32"/>
    <w:qFormat/>
    <w:rsid w:val="00DB699F"/>
    <w:rPr>
      <w:b/>
      <w:bCs/>
      <w:smallCaps/>
      <w:color w:val="0F4761" w:themeColor="accent1" w:themeShade="BF"/>
      <w:spacing w:val="5"/>
    </w:rPr>
  </w:style>
  <w:style w:type="character" w:styleId="Hyperlink">
    <w:name w:val="Hyperlink"/>
    <w:basedOn w:val="DefaultParagraphFont"/>
    <w:uiPriority w:val="99"/>
    <w:unhideWhenUsed/>
    <w:rsid w:val="0056118C"/>
    <w:rPr>
      <w:color w:val="0000FF"/>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51BA0"/>
    <w:pPr>
      <w:spacing w:after="0" w:line="240" w:lineRule="auto"/>
    </w:pPr>
  </w:style>
  <w:style w:type="character" w:styleId="FollowedHyperlink">
    <w:name w:val="FollowedHyperlink"/>
    <w:basedOn w:val="DefaultParagraphFont"/>
    <w:uiPriority w:val="99"/>
    <w:semiHidden/>
    <w:unhideWhenUsed/>
    <w:rsid w:val="00822A34"/>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1C5E67"/>
    <w:rPr>
      <w:b/>
      <w:bCs/>
    </w:rPr>
  </w:style>
  <w:style w:type="character" w:customStyle="1" w:styleId="CommentSubjectChar">
    <w:name w:val="Comment Subject Char"/>
    <w:basedOn w:val="CommentTextChar"/>
    <w:link w:val="CommentSubject"/>
    <w:uiPriority w:val="99"/>
    <w:semiHidden/>
    <w:rsid w:val="001C5E67"/>
    <w:rPr>
      <w:b/>
      <w:bCs/>
      <w:sz w:val="20"/>
      <w:szCs w:val="20"/>
    </w:rPr>
  </w:style>
  <w:style w:type="paragraph" w:styleId="Header">
    <w:name w:val="header"/>
    <w:basedOn w:val="Normal"/>
    <w:link w:val="HeaderChar"/>
    <w:uiPriority w:val="99"/>
    <w:unhideWhenUsed/>
    <w:rsid w:val="008C1F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1FE0"/>
  </w:style>
  <w:style w:type="paragraph" w:styleId="Footer">
    <w:name w:val="footer"/>
    <w:basedOn w:val="Normal"/>
    <w:link w:val="FooterChar"/>
    <w:uiPriority w:val="99"/>
    <w:unhideWhenUsed/>
    <w:rsid w:val="008C1F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1FE0"/>
  </w:style>
  <w:style w:type="character" w:styleId="UnresolvedMention">
    <w:name w:val="Unresolved Mention"/>
    <w:basedOn w:val="DefaultParagraphFont"/>
    <w:uiPriority w:val="99"/>
    <w:semiHidden/>
    <w:unhideWhenUsed/>
    <w:rsid w:val="00540C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Bridge@leeds.ac.uk" TargetMode="External"/><Relationship Id="rId3" Type="http://schemas.openxmlformats.org/officeDocument/2006/relationships/settings" Target="settings.xml"/><Relationship Id="rId7" Type="http://schemas.openxmlformats.org/officeDocument/2006/relationships/hyperlink" Target="https://www.hra-decisiontools.org.uk/research/docs/DefiningResearchTable_Oct2022.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Adele Nightingale</dc:creator>
  <cp:keywords/>
  <dc:description/>
  <cp:lastModifiedBy>Adele Nightingale</cp:lastModifiedBy>
  <cp:revision>2</cp:revision>
  <dcterms:created xsi:type="dcterms:W3CDTF">2026-01-21T10:13:00Z</dcterms:created>
  <dcterms:modified xsi:type="dcterms:W3CDTF">2026-01-21T10:13:00Z</dcterms:modified>
</cp:coreProperties>
</file>